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C21C1E"/>
    <w:p w:rsidR="00F41B40" w:rsidRPr="00F41B40" w:rsidRDefault="00F41B40">
      <w:pPr>
        <w:rPr>
          <w:b/>
          <w:sz w:val="36"/>
        </w:rPr>
      </w:pPr>
    </w:p>
    <w:p w:rsidR="00F41B40" w:rsidRDefault="00F41B40">
      <w:pPr>
        <w:rPr>
          <w:b/>
          <w:sz w:val="40"/>
          <w:u w:val="single"/>
        </w:rPr>
      </w:pPr>
      <w:r>
        <w:rPr>
          <w:b/>
          <w:sz w:val="36"/>
        </w:rPr>
        <w:t xml:space="preserve"> </w:t>
      </w:r>
      <w:r w:rsidRPr="00F41B40">
        <w:rPr>
          <w:b/>
          <w:sz w:val="40"/>
          <w:u w:val="single"/>
        </w:rPr>
        <w:t>Valeurs des terres et des fermages en Europe en 2022</w:t>
      </w:r>
    </w:p>
    <w:p w:rsidR="00BE7953" w:rsidRDefault="00BE7953">
      <w:pPr>
        <w:rPr>
          <w:b/>
          <w:sz w:val="40"/>
          <w:u w:val="single"/>
        </w:rPr>
      </w:pPr>
    </w:p>
    <w:p w:rsidR="00BE7953" w:rsidRDefault="00BE7953">
      <w:pPr>
        <w:rPr>
          <w:b/>
          <w:sz w:val="40"/>
          <w:u w:val="single"/>
        </w:rPr>
      </w:pPr>
    </w:p>
    <w:p w:rsidR="00F41B40" w:rsidRDefault="00F41B40">
      <w:pPr>
        <w:rPr>
          <w:b/>
          <w:sz w:val="40"/>
          <w:u w:val="single"/>
        </w:rPr>
      </w:pPr>
    </w:p>
    <w:p w:rsidR="00F41B40" w:rsidRDefault="006B2724" w:rsidP="006B2724">
      <w:pPr>
        <w:jc w:val="both"/>
        <w:rPr>
          <w:sz w:val="28"/>
        </w:rPr>
      </w:pPr>
      <w:r>
        <w:rPr>
          <w:sz w:val="28"/>
        </w:rPr>
        <w:t>L’Office statistique de l</w:t>
      </w:r>
      <w:r w:rsidR="00BE7953">
        <w:rPr>
          <w:sz w:val="28"/>
        </w:rPr>
        <w:t>’Union Européenne</w:t>
      </w:r>
      <w:r>
        <w:rPr>
          <w:sz w:val="28"/>
        </w:rPr>
        <w:t xml:space="preserve"> (</w:t>
      </w:r>
      <w:r w:rsidR="0024242F">
        <w:rPr>
          <w:sz w:val="28"/>
        </w:rPr>
        <w:t>Eurostat</w:t>
      </w:r>
      <w:r>
        <w:rPr>
          <w:sz w:val="28"/>
        </w:rPr>
        <w:t>)</w:t>
      </w:r>
      <w:r w:rsidR="0024242F">
        <w:rPr>
          <w:sz w:val="28"/>
        </w:rPr>
        <w:t xml:space="preserve"> a publié en janvier 2024, son dernier rapport relatif aux valeurs des terres et des fermages en Europe en 2022.</w:t>
      </w:r>
    </w:p>
    <w:p w:rsidR="0024242F" w:rsidRDefault="0024242F" w:rsidP="006B2724">
      <w:pPr>
        <w:jc w:val="both"/>
        <w:rPr>
          <w:sz w:val="28"/>
        </w:rPr>
      </w:pPr>
      <w:r>
        <w:rPr>
          <w:sz w:val="28"/>
        </w:rPr>
        <w:t xml:space="preserve">Comme précédemment, en 2020, ces nouvelles données confirment </w:t>
      </w:r>
      <w:r w:rsidR="006B2724">
        <w:rPr>
          <w:sz w:val="28"/>
        </w:rPr>
        <w:t>l’extraordinaire diversité des situations.</w:t>
      </w:r>
    </w:p>
    <w:p w:rsidR="006B2724" w:rsidRDefault="006B2724" w:rsidP="006B2724">
      <w:pPr>
        <w:jc w:val="both"/>
        <w:rPr>
          <w:sz w:val="28"/>
        </w:rPr>
      </w:pPr>
      <w:r>
        <w:rPr>
          <w:sz w:val="28"/>
        </w:rPr>
        <w:t>Il est regrettable, toutefois, que cette analyse ne prenne pas en compte la situation de 3 pays importants : l’Allemagne, la Belgique et l’Italie, faute de données.</w:t>
      </w:r>
    </w:p>
    <w:p w:rsidR="00234883" w:rsidRDefault="00234883" w:rsidP="006B2724">
      <w:pPr>
        <w:jc w:val="both"/>
        <w:rPr>
          <w:sz w:val="28"/>
        </w:rPr>
      </w:pPr>
    </w:p>
    <w:p w:rsidR="006B2724" w:rsidRDefault="006B2724" w:rsidP="006B2724">
      <w:pPr>
        <w:pStyle w:val="Paragraphedeliste"/>
        <w:numPr>
          <w:ilvl w:val="0"/>
          <w:numId w:val="1"/>
        </w:numPr>
        <w:jc w:val="both"/>
        <w:rPr>
          <w:b/>
          <w:sz w:val="32"/>
        </w:rPr>
      </w:pPr>
      <w:r w:rsidRPr="006B2724">
        <w:rPr>
          <w:b/>
          <w:sz w:val="32"/>
        </w:rPr>
        <w:t>Prix des terres</w:t>
      </w:r>
    </w:p>
    <w:p w:rsidR="009A42B6" w:rsidRDefault="009A42B6" w:rsidP="009A42B6">
      <w:pPr>
        <w:pStyle w:val="Paragraphedeliste"/>
        <w:ind w:left="424" w:firstLine="0"/>
        <w:jc w:val="both"/>
        <w:rPr>
          <w:b/>
          <w:sz w:val="32"/>
        </w:rPr>
      </w:pPr>
    </w:p>
    <w:p w:rsidR="009A42B6" w:rsidRDefault="006B2724" w:rsidP="00AD40D0">
      <w:pPr>
        <w:jc w:val="both"/>
        <w:rPr>
          <w:sz w:val="28"/>
        </w:rPr>
      </w:pPr>
      <w:r>
        <w:rPr>
          <w:sz w:val="28"/>
        </w:rPr>
        <w:t>E</w:t>
      </w:r>
      <w:r w:rsidR="00AD40D0">
        <w:rPr>
          <w:sz w:val="28"/>
        </w:rPr>
        <w:t>n 2022, le prix moyen d’un hectare de terre arable</w:t>
      </w:r>
      <w:r w:rsidR="009A42B6">
        <w:rPr>
          <w:sz w:val="28"/>
        </w:rPr>
        <w:t xml:space="preserve"> en Europe </w:t>
      </w:r>
      <w:r w:rsidR="00AD40D0">
        <w:rPr>
          <w:sz w:val="28"/>
        </w:rPr>
        <w:t xml:space="preserve"> était de : </w:t>
      </w:r>
    </w:p>
    <w:p w:rsidR="006B2724" w:rsidRDefault="00AD40D0" w:rsidP="00AD40D0">
      <w:pPr>
        <w:jc w:val="both"/>
        <w:rPr>
          <w:sz w:val="28"/>
        </w:rPr>
      </w:pPr>
      <w:r>
        <w:rPr>
          <w:sz w:val="28"/>
        </w:rPr>
        <w:t>10 578 €, soit 45 fois le prix moyen de location annuel qui était de : 233 €.</w:t>
      </w:r>
    </w:p>
    <w:p w:rsidR="00AD40D0" w:rsidRDefault="00AD40D0" w:rsidP="00AD40D0">
      <w:pPr>
        <w:jc w:val="both"/>
        <w:rPr>
          <w:sz w:val="28"/>
        </w:rPr>
      </w:pPr>
      <w:r>
        <w:rPr>
          <w:sz w:val="28"/>
        </w:rPr>
        <w:t>Ces moyennes sont cependant sujettes à caution, tellement il y a de diversité entre les Etats membres.</w:t>
      </w:r>
    </w:p>
    <w:p w:rsidR="00AD40D0" w:rsidRDefault="00AD40D0" w:rsidP="00AD40D0">
      <w:pPr>
        <w:jc w:val="both"/>
        <w:rPr>
          <w:sz w:val="28"/>
        </w:rPr>
      </w:pPr>
      <w:r>
        <w:rPr>
          <w:sz w:val="28"/>
        </w:rPr>
        <w:t>Par exemple, le prix moyen d’un hectare était de 3 700 € en Croatie et de : 233</w:t>
      </w:r>
      <w:r w:rsidR="0048760C">
        <w:rPr>
          <w:sz w:val="28"/>
        </w:rPr>
        <w:t> 230 € à Malte, là où les hectares disponibles sont quasi inexistants.</w:t>
      </w:r>
    </w:p>
    <w:p w:rsidR="0048760C" w:rsidRDefault="0048760C" w:rsidP="00AD40D0">
      <w:pPr>
        <w:jc w:val="both"/>
        <w:rPr>
          <w:sz w:val="28"/>
        </w:rPr>
      </w:pPr>
      <w:r>
        <w:rPr>
          <w:sz w:val="28"/>
        </w:rPr>
        <w:t>Hors cette exception de Malte, c’est aux Pays Bas que la terre vaut le plus cher : 85 431 €/ha.</w:t>
      </w:r>
    </w:p>
    <w:p w:rsidR="0048760C" w:rsidRDefault="0048760C" w:rsidP="00AD40D0">
      <w:pPr>
        <w:jc w:val="both"/>
        <w:rPr>
          <w:sz w:val="28"/>
        </w:rPr>
      </w:pPr>
      <w:r>
        <w:rPr>
          <w:sz w:val="28"/>
        </w:rPr>
        <w:t xml:space="preserve">Quant à la France, elle se situe très loin avec : 6 130 €/ha, soit dans la moyenne </w:t>
      </w:r>
      <w:r w:rsidR="009A42B6">
        <w:rPr>
          <w:sz w:val="28"/>
        </w:rPr>
        <w:t xml:space="preserve"> </w:t>
      </w:r>
      <w:r>
        <w:rPr>
          <w:sz w:val="28"/>
        </w:rPr>
        <w:t>basse.</w:t>
      </w:r>
    </w:p>
    <w:p w:rsidR="00EE5BD1" w:rsidRDefault="00EE5BD1" w:rsidP="00AD40D0">
      <w:pPr>
        <w:jc w:val="both"/>
        <w:rPr>
          <w:sz w:val="28"/>
        </w:rPr>
      </w:pPr>
    </w:p>
    <w:p w:rsidR="00EE5BD1" w:rsidRDefault="00EE5BD1" w:rsidP="00EE5BD1">
      <w:pPr>
        <w:pStyle w:val="Paragraphedeliste"/>
        <w:numPr>
          <w:ilvl w:val="0"/>
          <w:numId w:val="1"/>
        </w:numPr>
        <w:jc w:val="both"/>
        <w:rPr>
          <w:b/>
          <w:sz w:val="32"/>
        </w:rPr>
      </w:pPr>
      <w:r w:rsidRPr="00EE5BD1">
        <w:rPr>
          <w:b/>
          <w:sz w:val="32"/>
        </w:rPr>
        <w:t>Prix des fermages</w:t>
      </w:r>
    </w:p>
    <w:p w:rsidR="009A42B6" w:rsidRDefault="009A42B6" w:rsidP="009A42B6">
      <w:pPr>
        <w:pStyle w:val="Paragraphedeliste"/>
        <w:ind w:left="424" w:firstLine="0"/>
        <w:jc w:val="both"/>
        <w:rPr>
          <w:b/>
          <w:sz w:val="32"/>
        </w:rPr>
      </w:pPr>
    </w:p>
    <w:p w:rsidR="00EE5BD1" w:rsidRDefault="00EE5BD1" w:rsidP="0028779C">
      <w:pPr>
        <w:jc w:val="both"/>
        <w:rPr>
          <w:sz w:val="28"/>
        </w:rPr>
      </w:pPr>
      <w:r w:rsidRPr="0028779C">
        <w:rPr>
          <w:sz w:val="28"/>
        </w:rPr>
        <w:t>Ces disparités se retrouvent évidemment au niveau des loyers.</w:t>
      </w:r>
    </w:p>
    <w:p w:rsidR="0028779C" w:rsidRDefault="0028779C" w:rsidP="0028779C">
      <w:pPr>
        <w:jc w:val="both"/>
        <w:rPr>
          <w:sz w:val="28"/>
        </w:rPr>
      </w:pPr>
      <w:r>
        <w:rPr>
          <w:sz w:val="28"/>
        </w:rPr>
        <w:t>Ainsi, le prix moyen de location annuelle d’un hectare de terre arable et/ou de prairie permanente était de : 199 € en Europe, alors qu’il était de : 57 € en Slovaquie et de</w:t>
      </w:r>
      <w:r w:rsidR="009A42B6">
        <w:rPr>
          <w:sz w:val="28"/>
        </w:rPr>
        <w:t xml:space="preserve"> : </w:t>
      </w:r>
      <w:r>
        <w:rPr>
          <w:sz w:val="28"/>
        </w:rPr>
        <w:t>843 € aux Pays Bas.</w:t>
      </w:r>
    </w:p>
    <w:p w:rsidR="0028779C" w:rsidRDefault="0028779C" w:rsidP="0028779C">
      <w:pPr>
        <w:jc w:val="both"/>
        <w:rPr>
          <w:sz w:val="28"/>
        </w:rPr>
      </w:pPr>
      <w:r>
        <w:rPr>
          <w:sz w:val="28"/>
        </w:rPr>
        <w:t>En France, le prix moyen de location d’un hectare était de : 154 €, c'est-à-dire dans la seconde moitié des pays analysés.</w:t>
      </w:r>
    </w:p>
    <w:p w:rsidR="009A42B6" w:rsidRDefault="009A42B6" w:rsidP="0028779C">
      <w:pPr>
        <w:jc w:val="both"/>
        <w:rPr>
          <w:sz w:val="28"/>
        </w:rPr>
      </w:pPr>
    </w:p>
    <w:p w:rsidR="009A42B6" w:rsidRDefault="009A42B6" w:rsidP="0028779C">
      <w:pPr>
        <w:jc w:val="both"/>
        <w:rPr>
          <w:sz w:val="28"/>
        </w:rPr>
      </w:pPr>
    </w:p>
    <w:p w:rsidR="009A42B6" w:rsidRDefault="009A42B6" w:rsidP="0028779C">
      <w:pPr>
        <w:jc w:val="both"/>
        <w:rPr>
          <w:sz w:val="28"/>
        </w:rPr>
      </w:pPr>
    </w:p>
    <w:p w:rsidR="00AA7F68" w:rsidRDefault="00AA7F68" w:rsidP="0028779C">
      <w:pPr>
        <w:jc w:val="both"/>
        <w:rPr>
          <w:sz w:val="28"/>
        </w:rPr>
      </w:pPr>
    </w:p>
    <w:p w:rsidR="00AA7F68" w:rsidRDefault="00AA7F68" w:rsidP="00AA7F68">
      <w:pPr>
        <w:pStyle w:val="Paragraphedeliste"/>
        <w:numPr>
          <w:ilvl w:val="0"/>
          <w:numId w:val="1"/>
        </w:numPr>
        <w:jc w:val="both"/>
        <w:rPr>
          <w:b/>
          <w:sz w:val="32"/>
        </w:rPr>
      </w:pPr>
      <w:r w:rsidRPr="00AA7F68">
        <w:rPr>
          <w:b/>
          <w:sz w:val="32"/>
        </w:rPr>
        <w:lastRenderedPageBreak/>
        <w:t>Commentaires</w:t>
      </w:r>
    </w:p>
    <w:p w:rsidR="004000F1" w:rsidRDefault="004000F1" w:rsidP="004000F1">
      <w:pPr>
        <w:pStyle w:val="Paragraphedeliste"/>
        <w:ind w:left="424" w:firstLine="0"/>
        <w:jc w:val="both"/>
        <w:rPr>
          <w:b/>
          <w:sz w:val="32"/>
        </w:rPr>
      </w:pPr>
    </w:p>
    <w:p w:rsidR="00AA7F68" w:rsidRDefault="00AA7F68" w:rsidP="00AA7F68">
      <w:pPr>
        <w:jc w:val="both"/>
        <w:rPr>
          <w:sz w:val="28"/>
        </w:rPr>
      </w:pPr>
      <w:r w:rsidRPr="00AA7F68">
        <w:rPr>
          <w:sz w:val="28"/>
        </w:rPr>
        <w:t>Sur le prix des terres</w:t>
      </w:r>
      <w:r>
        <w:rPr>
          <w:sz w:val="28"/>
        </w:rPr>
        <w:t>, il est normal de trouver en tête les pays très peuplés où du moins des pays où le nombre d’habitants par km2 est important comme les Pays Bas, le Danemark, le Luxembourg. C’est un peu plus étonnant de voir l’</w:t>
      </w:r>
      <w:r w:rsidR="000C4B69">
        <w:rPr>
          <w:sz w:val="28"/>
        </w:rPr>
        <w:t>Irlande qui a une moyenne 6 fois et demie plus élevée qu’en France.</w:t>
      </w:r>
    </w:p>
    <w:p w:rsidR="000C4B69" w:rsidRDefault="000C4B69" w:rsidP="00AA7F68">
      <w:pPr>
        <w:jc w:val="both"/>
        <w:rPr>
          <w:sz w:val="28"/>
        </w:rPr>
      </w:pPr>
      <w:r>
        <w:rPr>
          <w:sz w:val="28"/>
        </w:rPr>
        <w:t>On peut remarquer par ailleurs que la France se situe au milieu des anciens pays de l’URSS dont l’histoire de la propriété agricole est à l’opposé de celle d’un pays de l’ouest comme la France.</w:t>
      </w:r>
    </w:p>
    <w:p w:rsidR="00EE7270" w:rsidRDefault="00EE7270" w:rsidP="00AA7F68">
      <w:pPr>
        <w:jc w:val="both"/>
        <w:rPr>
          <w:sz w:val="28"/>
        </w:rPr>
      </w:pPr>
      <w:r>
        <w:rPr>
          <w:sz w:val="28"/>
        </w:rPr>
        <w:t>Est-ce dû à l’esprit du Code Rural qui protège plus les fermiers que les propriétaires en France ?</w:t>
      </w:r>
    </w:p>
    <w:p w:rsidR="00EE7270" w:rsidRDefault="00EE7270" w:rsidP="00AA7F68">
      <w:pPr>
        <w:jc w:val="both"/>
        <w:rPr>
          <w:sz w:val="28"/>
        </w:rPr>
      </w:pPr>
      <w:r>
        <w:rPr>
          <w:sz w:val="28"/>
        </w:rPr>
        <w:t>Quant au niveau moyen du fermage, il y a forcément une corrélation entre le prix de la terre et le niveau de la location</w:t>
      </w:r>
      <w:r w:rsidR="007923D7">
        <w:rPr>
          <w:sz w:val="28"/>
        </w:rPr>
        <w:t>. Mais avec des exceptions, comme en Grèce, Bulgarie et Pologne où le fermage est plus élevé qu’ailleurs par rapport au prix de la terre.</w:t>
      </w:r>
    </w:p>
    <w:p w:rsidR="007923D7" w:rsidRDefault="007923D7" w:rsidP="00AA7F68">
      <w:pPr>
        <w:jc w:val="both"/>
        <w:rPr>
          <w:sz w:val="28"/>
        </w:rPr>
      </w:pPr>
      <w:r>
        <w:rPr>
          <w:sz w:val="28"/>
        </w:rPr>
        <w:t>On pourrait se poser la question du niveau des prix par rapport à la qualité moyenne des terres.</w:t>
      </w:r>
    </w:p>
    <w:p w:rsidR="0081702A" w:rsidRDefault="0081702A" w:rsidP="00AA7F68">
      <w:pPr>
        <w:jc w:val="both"/>
        <w:rPr>
          <w:sz w:val="28"/>
        </w:rPr>
      </w:pPr>
      <w:r>
        <w:rPr>
          <w:sz w:val="28"/>
        </w:rPr>
        <w:t>La superficie de la France, sa géographie, sa géologie et son climat peuvent être une explication à la diversité des sols et leur fertilité.</w:t>
      </w:r>
    </w:p>
    <w:p w:rsidR="0081702A" w:rsidRDefault="0081702A" w:rsidP="00AA7F68">
      <w:pPr>
        <w:jc w:val="both"/>
        <w:rPr>
          <w:sz w:val="28"/>
        </w:rPr>
      </w:pPr>
      <w:r>
        <w:rPr>
          <w:sz w:val="28"/>
        </w:rPr>
        <w:t>En effet, plus de la moitié de la France est composée de terres très moyennes.</w:t>
      </w:r>
    </w:p>
    <w:p w:rsidR="0081702A" w:rsidRDefault="0081702A" w:rsidP="00AA7F68">
      <w:pPr>
        <w:jc w:val="both"/>
        <w:rPr>
          <w:sz w:val="28"/>
        </w:rPr>
      </w:pPr>
      <w:r>
        <w:rPr>
          <w:sz w:val="28"/>
        </w:rPr>
        <w:t>Il suffit de constater les rendements moyens en blé pour montrer l’inégalité au niveau du potentiel des so</w:t>
      </w:r>
      <w:r w:rsidR="009A42B6">
        <w:rPr>
          <w:sz w:val="28"/>
        </w:rPr>
        <w:t>ls et du climat local.</w:t>
      </w:r>
    </w:p>
    <w:p w:rsidR="0081702A" w:rsidRDefault="0081702A" w:rsidP="00AA7F68">
      <w:pPr>
        <w:jc w:val="both"/>
        <w:rPr>
          <w:sz w:val="28"/>
        </w:rPr>
      </w:pPr>
      <w:r>
        <w:rPr>
          <w:sz w:val="28"/>
        </w:rPr>
        <w:t>A</w:t>
      </w:r>
      <w:r w:rsidR="000B15CD">
        <w:rPr>
          <w:sz w:val="28"/>
        </w:rPr>
        <w:t>u dessus de la Loire, à l’exception de la Bretagne et du Grand Est, les rendements en blé atteignent facilement 85 quintaux à l’hectare, jusqu’à 100 quintaux, tandis que dans les autres régions les rendements moyens sont de 50 à 75 quintaux par hectares.</w:t>
      </w:r>
    </w:p>
    <w:p w:rsidR="009A42B6" w:rsidRDefault="009A42B6" w:rsidP="00AA7F68">
      <w:pPr>
        <w:jc w:val="both"/>
        <w:rPr>
          <w:sz w:val="28"/>
        </w:rPr>
      </w:pPr>
    </w:p>
    <w:p w:rsidR="000B15CD" w:rsidRDefault="000B15CD" w:rsidP="00AA7F68">
      <w:pPr>
        <w:jc w:val="both"/>
        <w:rPr>
          <w:sz w:val="28"/>
        </w:rPr>
      </w:pPr>
      <w:r>
        <w:rPr>
          <w:sz w:val="28"/>
        </w:rPr>
        <w:t>Le troisième graphique présente la rentabilité moyenne calculée en divisant le fermage moyen par le prix moyen de la terre.</w:t>
      </w:r>
    </w:p>
    <w:p w:rsidR="00662DEA" w:rsidRDefault="00662DEA" w:rsidP="004000F1">
      <w:pPr>
        <w:ind w:left="0" w:firstLine="0"/>
        <w:jc w:val="both"/>
        <w:rPr>
          <w:sz w:val="28"/>
        </w:rPr>
      </w:pPr>
      <w:r>
        <w:rPr>
          <w:sz w:val="28"/>
        </w:rPr>
        <w:t>Ce calcul permet de voir la France remonter dans le classement, à la 5</w:t>
      </w:r>
      <w:r w:rsidRPr="00662DEA">
        <w:rPr>
          <w:sz w:val="28"/>
          <w:vertAlign w:val="superscript"/>
        </w:rPr>
        <w:t>ème</w:t>
      </w:r>
      <w:r>
        <w:rPr>
          <w:sz w:val="28"/>
        </w:rPr>
        <w:t xml:space="preserve"> place.</w:t>
      </w:r>
    </w:p>
    <w:p w:rsidR="00662DEA" w:rsidRDefault="00662DEA" w:rsidP="00AA7F68">
      <w:pPr>
        <w:jc w:val="both"/>
        <w:rPr>
          <w:sz w:val="28"/>
        </w:rPr>
      </w:pPr>
      <w:r>
        <w:rPr>
          <w:sz w:val="28"/>
        </w:rPr>
        <w:t>Faut-il s’en réjouir et se dire qu’investir dans le foncier agricole est plus intéressant en France que dans beaucoup d’autres pays ?</w:t>
      </w:r>
    </w:p>
    <w:p w:rsidR="00662DEA" w:rsidRDefault="00662DEA" w:rsidP="00AA7F68">
      <w:pPr>
        <w:jc w:val="both"/>
        <w:rPr>
          <w:sz w:val="28"/>
        </w:rPr>
      </w:pPr>
      <w:r>
        <w:rPr>
          <w:sz w:val="28"/>
        </w:rPr>
        <w:t>Ces données n’introduisent pas les accessoires de ces prix et notamment la fiscalité que ce soit au niveau des transactions et/ou des revenus</w:t>
      </w:r>
      <w:r w:rsidR="00224BEE">
        <w:rPr>
          <w:sz w:val="28"/>
        </w:rPr>
        <w:t>.</w:t>
      </w:r>
    </w:p>
    <w:p w:rsidR="00224BEE" w:rsidRDefault="00224BEE" w:rsidP="00AA7F68">
      <w:pPr>
        <w:jc w:val="both"/>
        <w:rPr>
          <w:sz w:val="28"/>
        </w:rPr>
      </w:pPr>
      <w:r>
        <w:rPr>
          <w:sz w:val="28"/>
        </w:rPr>
        <w:t>Il serait osé d’en arriver à ces conclusions.</w:t>
      </w:r>
    </w:p>
    <w:p w:rsidR="00224BEE" w:rsidRDefault="00224BEE" w:rsidP="00AA7F68">
      <w:pPr>
        <w:jc w:val="both"/>
        <w:rPr>
          <w:sz w:val="28"/>
        </w:rPr>
      </w:pPr>
    </w:p>
    <w:p w:rsidR="00224BEE" w:rsidRDefault="00224BEE" w:rsidP="00AA7F68">
      <w:pPr>
        <w:jc w:val="both"/>
        <w:rPr>
          <w:sz w:val="28"/>
        </w:rPr>
      </w:pPr>
      <w:r>
        <w:rPr>
          <w:sz w:val="28"/>
        </w:rPr>
        <w:t>Les classements donnés par ces trois graphiques montrent bien, à quelques détails près que l’on retrouve deux blocs de pays, les pays de l’ouest (vieilles démocraties) et les anciens pays du bloc de l’est</w:t>
      </w:r>
      <w:r w:rsidR="00A852CA">
        <w:rPr>
          <w:sz w:val="28"/>
        </w:rPr>
        <w:t>, alors que bien souvent ces pays disposent de terres d’excellente qualité.</w:t>
      </w:r>
    </w:p>
    <w:p w:rsidR="00E84A25" w:rsidRDefault="00E84A25" w:rsidP="00AA7F68">
      <w:pPr>
        <w:jc w:val="both"/>
        <w:rPr>
          <w:sz w:val="28"/>
        </w:rPr>
      </w:pPr>
    </w:p>
    <w:p w:rsidR="00A852CA" w:rsidRDefault="00A852CA" w:rsidP="00AA7F68">
      <w:pPr>
        <w:jc w:val="both"/>
        <w:rPr>
          <w:sz w:val="28"/>
        </w:rPr>
      </w:pPr>
      <w:r>
        <w:rPr>
          <w:sz w:val="28"/>
        </w:rPr>
        <w:t>L’histoire pèse lourd.</w:t>
      </w:r>
    </w:p>
    <w:p w:rsidR="005C735E" w:rsidRDefault="005C735E" w:rsidP="0028779C">
      <w:pPr>
        <w:jc w:val="both"/>
        <w:rPr>
          <w:sz w:val="28"/>
        </w:rPr>
      </w:pPr>
    </w:p>
    <w:tbl>
      <w:tblPr>
        <w:tblW w:w="12244" w:type="dxa"/>
        <w:tblInd w:w="70" w:type="dxa"/>
        <w:tblCellMar>
          <w:left w:w="70" w:type="dxa"/>
          <w:right w:w="70" w:type="dxa"/>
        </w:tblCellMar>
        <w:tblLook w:val="04A0"/>
      </w:tblPr>
      <w:tblGrid>
        <w:gridCol w:w="16576"/>
        <w:gridCol w:w="146"/>
        <w:gridCol w:w="146"/>
        <w:gridCol w:w="146"/>
        <w:gridCol w:w="146"/>
        <w:gridCol w:w="146"/>
        <w:gridCol w:w="146"/>
        <w:gridCol w:w="160"/>
        <w:gridCol w:w="132"/>
        <w:gridCol w:w="28"/>
      </w:tblGrid>
      <w:tr w:rsidR="005C735E" w:rsidRPr="005C735E" w:rsidTr="00662DEA">
        <w:trPr>
          <w:gridAfter w:val="1"/>
          <w:wAfter w:w="28" w:type="dxa"/>
          <w:trHeight w:val="419"/>
        </w:trPr>
        <w:tc>
          <w:tcPr>
            <w:tcW w:w="12216" w:type="dxa"/>
            <w:gridSpan w:val="9"/>
            <w:tcBorders>
              <w:top w:val="nil"/>
              <w:left w:val="nil"/>
              <w:bottom w:val="nil"/>
              <w:right w:val="nil"/>
            </w:tcBorders>
            <w:shd w:val="clear" w:color="auto" w:fill="auto"/>
            <w:noWrap/>
            <w:vAlign w:val="center"/>
            <w:hideMark/>
          </w:tcPr>
          <w:p w:rsidR="005C735E" w:rsidRDefault="005C735E" w:rsidP="00224BEE">
            <w:pPr>
              <w:ind w:left="0" w:firstLine="0"/>
              <w:rPr>
                <w:rFonts w:ascii="Calibri" w:eastAsia="Times New Roman" w:hAnsi="Calibri" w:cs="Calibri"/>
                <w:b/>
                <w:bCs/>
                <w:color w:val="000000"/>
                <w:sz w:val="32"/>
                <w:szCs w:val="32"/>
                <w:lang w:eastAsia="fr-FR"/>
              </w:rPr>
            </w:pPr>
          </w:p>
          <w:p w:rsidR="005C735E" w:rsidRDefault="005C735E" w:rsidP="005C735E">
            <w:pPr>
              <w:ind w:left="0" w:firstLine="0"/>
              <w:jc w:val="center"/>
              <w:rPr>
                <w:rFonts w:ascii="Calibri" w:eastAsia="Times New Roman" w:hAnsi="Calibri" w:cs="Calibri"/>
                <w:b/>
                <w:bCs/>
                <w:color w:val="000000"/>
                <w:sz w:val="32"/>
                <w:szCs w:val="32"/>
                <w:lang w:eastAsia="fr-FR"/>
              </w:rPr>
            </w:pPr>
          </w:p>
          <w:p w:rsidR="005C735E" w:rsidRDefault="005C735E" w:rsidP="005C735E">
            <w:pPr>
              <w:ind w:left="0" w:firstLine="0"/>
              <w:rPr>
                <w:rFonts w:ascii="Calibri" w:eastAsia="Times New Roman" w:hAnsi="Calibri" w:cs="Calibri"/>
                <w:b/>
                <w:bCs/>
                <w:color w:val="000000"/>
                <w:sz w:val="32"/>
                <w:szCs w:val="32"/>
                <w:lang w:eastAsia="fr-FR"/>
              </w:rPr>
            </w:pPr>
            <w:r>
              <w:rPr>
                <w:rFonts w:ascii="Calibri" w:eastAsia="Times New Roman" w:hAnsi="Calibri" w:cs="Calibri"/>
                <w:b/>
                <w:bCs/>
                <w:color w:val="000000"/>
                <w:sz w:val="32"/>
                <w:szCs w:val="32"/>
                <w:lang w:eastAsia="fr-FR"/>
              </w:rPr>
              <w:t xml:space="preserve">  </w:t>
            </w:r>
            <w:r w:rsidR="00BE7953">
              <w:rPr>
                <w:rFonts w:ascii="Calibri" w:eastAsia="Times New Roman" w:hAnsi="Calibri" w:cs="Calibri"/>
                <w:b/>
                <w:bCs/>
                <w:color w:val="000000"/>
                <w:sz w:val="32"/>
                <w:szCs w:val="32"/>
                <w:lang w:eastAsia="fr-FR"/>
              </w:rPr>
              <w:t xml:space="preserve">           </w:t>
            </w:r>
            <w:r w:rsidRPr="005C735E">
              <w:rPr>
                <w:rFonts w:ascii="Calibri" w:eastAsia="Times New Roman" w:hAnsi="Calibri" w:cs="Calibri"/>
                <w:b/>
                <w:bCs/>
                <w:color w:val="000000"/>
                <w:sz w:val="32"/>
                <w:szCs w:val="32"/>
                <w:lang w:eastAsia="fr-FR"/>
              </w:rPr>
              <w:t xml:space="preserve">Prix </w:t>
            </w:r>
            <w:r w:rsidR="0080360D">
              <w:rPr>
                <w:rFonts w:ascii="Calibri" w:eastAsia="Times New Roman" w:hAnsi="Calibri" w:cs="Calibri"/>
                <w:b/>
                <w:bCs/>
                <w:color w:val="000000"/>
                <w:sz w:val="32"/>
                <w:szCs w:val="32"/>
                <w:lang w:eastAsia="fr-FR"/>
              </w:rPr>
              <w:t xml:space="preserve">moyen </w:t>
            </w:r>
            <w:r w:rsidRPr="005C735E">
              <w:rPr>
                <w:rFonts w:ascii="Calibri" w:eastAsia="Times New Roman" w:hAnsi="Calibri" w:cs="Calibri"/>
                <w:b/>
                <w:bCs/>
                <w:color w:val="000000"/>
                <w:sz w:val="32"/>
                <w:szCs w:val="32"/>
                <w:lang w:eastAsia="fr-FR"/>
              </w:rPr>
              <w:t>des Terres en Europe en €/ha en 2022</w:t>
            </w:r>
          </w:p>
          <w:p w:rsidR="00BE7953" w:rsidRPr="005C735E" w:rsidRDefault="00BE7953" w:rsidP="005C735E">
            <w:pPr>
              <w:ind w:left="0" w:firstLine="0"/>
              <w:rPr>
                <w:rFonts w:ascii="Calibri" w:eastAsia="Times New Roman" w:hAnsi="Calibri" w:cs="Calibri"/>
                <w:b/>
                <w:bCs/>
                <w:color w:val="000000"/>
                <w:sz w:val="32"/>
                <w:szCs w:val="32"/>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r>
              <w:rPr>
                <w:rFonts w:ascii="Calibri" w:eastAsia="Times New Roman" w:hAnsi="Calibri" w:cs="Calibri"/>
                <w:b/>
                <w:bCs/>
                <w:noProof/>
                <w:color w:val="000000"/>
                <w:sz w:val="28"/>
                <w:szCs w:val="28"/>
                <w:lang w:eastAsia="fr-FR"/>
              </w:rPr>
              <w:drawing>
                <wp:anchor distT="0" distB="0" distL="114300" distR="114300" simplePos="0" relativeHeight="251660288" behindDoc="0" locked="0" layoutInCell="1" allowOverlap="1">
                  <wp:simplePos x="0" y="0"/>
                  <wp:positionH relativeFrom="column">
                    <wp:posOffset>-485140</wp:posOffset>
                  </wp:positionH>
                  <wp:positionV relativeFrom="paragraph">
                    <wp:posOffset>14605</wp:posOffset>
                  </wp:positionV>
                  <wp:extent cx="6845300" cy="3718560"/>
                  <wp:effectExtent l="19050" t="0" r="12700" b="0"/>
                  <wp:wrapNone/>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bottom"/>
            <w:hideMark/>
          </w:tcPr>
          <w:p w:rsidR="005C735E" w:rsidRPr="005C735E" w:rsidRDefault="005C735E" w:rsidP="005C735E">
            <w:pPr>
              <w:ind w:left="0" w:firstLine="0"/>
              <w:rPr>
                <w:rFonts w:ascii="Calibri" w:eastAsia="Times New Roman" w:hAnsi="Calibri" w:cs="Calibri"/>
                <w:color w:val="000000"/>
                <w:lang w:eastAsia="fr-FR"/>
              </w:rPr>
            </w:pPr>
          </w:p>
          <w:tbl>
            <w:tblPr>
              <w:tblW w:w="0" w:type="auto"/>
              <w:tblCellSpacing w:w="0" w:type="dxa"/>
              <w:tblCellMar>
                <w:left w:w="0" w:type="dxa"/>
                <w:right w:w="0" w:type="dxa"/>
              </w:tblCellMar>
              <w:tblLook w:val="04A0"/>
            </w:tblPr>
            <w:tblGrid>
              <w:gridCol w:w="1200"/>
            </w:tblGrid>
            <w:tr w:rsidR="005C735E" w:rsidRPr="005C735E">
              <w:trPr>
                <w:trHeight w:val="366"/>
                <w:tblCellSpacing w:w="0" w:type="dxa"/>
              </w:trPr>
              <w:tc>
                <w:tcPr>
                  <w:tcW w:w="120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bl>
          <w:p w:rsidR="005C735E" w:rsidRPr="005C735E" w:rsidRDefault="005C735E" w:rsidP="005C735E">
            <w:pPr>
              <w:ind w:left="0" w:firstLine="0"/>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Default="005C735E" w:rsidP="005C735E">
            <w:pPr>
              <w:ind w:left="0" w:firstLine="0"/>
              <w:jc w:val="center"/>
              <w:rPr>
                <w:rFonts w:ascii="Calibri" w:eastAsia="Times New Roman" w:hAnsi="Calibri" w:cs="Calibri"/>
                <w:b/>
                <w:bCs/>
                <w:color w:val="000000"/>
                <w:sz w:val="28"/>
                <w:szCs w:val="28"/>
                <w:lang w:eastAsia="fr-FR"/>
              </w:rPr>
            </w:pPr>
          </w:p>
          <w:p w:rsidR="00C274D6" w:rsidRDefault="00C274D6" w:rsidP="005C735E">
            <w:pPr>
              <w:ind w:left="0" w:firstLine="0"/>
              <w:jc w:val="center"/>
              <w:rPr>
                <w:rFonts w:ascii="Calibri" w:eastAsia="Times New Roman" w:hAnsi="Calibri" w:cs="Calibri"/>
                <w:b/>
                <w:bCs/>
                <w:color w:val="000000"/>
                <w:sz w:val="28"/>
                <w:szCs w:val="28"/>
                <w:lang w:eastAsia="fr-FR"/>
              </w:rPr>
            </w:pPr>
          </w:p>
          <w:p w:rsidR="00BE7953" w:rsidRDefault="00BE7953" w:rsidP="005C735E">
            <w:pPr>
              <w:ind w:left="0" w:firstLine="0"/>
              <w:jc w:val="center"/>
              <w:rPr>
                <w:rFonts w:ascii="Calibri" w:eastAsia="Times New Roman" w:hAnsi="Calibri" w:cs="Calibri"/>
                <w:b/>
                <w:bCs/>
                <w:color w:val="000000"/>
                <w:sz w:val="28"/>
                <w:szCs w:val="28"/>
                <w:lang w:eastAsia="fr-FR"/>
              </w:rPr>
            </w:pPr>
          </w:p>
          <w:p w:rsidR="00BE7953" w:rsidRDefault="00BE7953" w:rsidP="005C735E">
            <w:pPr>
              <w:ind w:left="0" w:firstLine="0"/>
              <w:jc w:val="center"/>
              <w:rPr>
                <w:rFonts w:ascii="Calibri" w:eastAsia="Times New Roman" w:hAnsi="Calibri" w:cs="Calibri"/>
                <w:b/>
                <w:bCs/>
                <w:color w:val="000000"/>
                <w:sz w:val="28"/>
                <w:szCs w:val="28"/>
                <w:lang w:eastAsia="fr-FR"/>
              </w:rPr>
            </w:pPr>
          </w:p>
          <w:p w:rsidR="00C274D6" w:rsidRDefault="00C274D6" w:rsidP="005C735E">
            <w:pPr>
              <w:ind w:left="0" w:firstLine="0"/>
              <w:jc w:val="center"/>
              <w:rPr>
                <w:rFonts w:ascii="Calibri" w:eastAsia="Times New Roman" w:hAnsi="Calibri" w:cs="Calibri"/>
                <w:b/>
                <w:bCs/>
                <w:color w:val="000000"/>
                <w:sz w:val="28"/>
                <w:szCs w:val="28"/>
                <w:lang w:eastAsia="fr-FR"/>
              </w:rPr>
            </w:pPr>
          </w:p>
          <w:tbl>
            <w:tblPr>
              <w:tblW w:w="8756" w:type="dxa"/>
              <w:tblCellMar>
                <w:left w:w="70" w:type="dxa"/>
                <w:right w:w="70" w:type="dxa"/>
              </w:tblCellMar>
              <w:tblLook w:val="04A0"/>
            </w:tblPr>
            <w:tblGrid>
              <w:gridCol w:w="15706"/>
              <w:gridCol w:w="146"/>
              <w:gridCol w:w="146"/>
              <w:gridCol w:w="146"/>
              <w:gridCol w:w="146"/>
              <w:gridCol w:w="146"/>
            </w:tblGrid>
            <w:tr w:rsidR="00C274D6" w:rsidRPr="00C274D6" w:rsidTr="00C274D6">
              <w:trPr>
                <w:trHeight w:val="366"/>
              </w:trPr>
              <w:tc>
                <w:tcPr>
                  <w:tcW w:w="8756" w:type="dxa"/>
                  <w:gridSpan w:val="6"/>
                  <w:tcBorders>
                    <w:top w:val="nil"/>
                    <w:left w:val="nil"/>
                    <w:bottom w:val="nil"/>
                    <w:right w:val="nil"/>
                  </w:tcBorders>
                  <w:shd w:val="clear" w:color="auto" w:fill="auto"/>
                  <w:noWrap/>
                  <w:vAlign w:val="center"/>
                  <w:hideMark/>
                </w:tcPr>
                <w:p w:rsidR="00C274D6" w:rsidRPr="00C274D6" w:rsidRDefault="00BE7953" w:rsidP="00BE7953">
                  <w:pPr>
                    <w:ind w:left="0" w:firstLine="0"/>
                    <w:rPr>
                      <w:rFonts w:ascii="Calibri" w:eastAsia="Times New Roman" w:hAnsi="Calibri" w:cs="Calibri"/>
                      <w:b/>
                      <w:bCs/>
                      <w:color w:val="000000"/>
                      <w:sz w:val="28"/>
                      <w:szCs w:val="28"/>
                      <w:lang w:eastAsia="fr-FR"/>
                    </w:rPr>
                  </w:pPr>
                  <w:r>
                    <w:rPr>
                      <w:rFonts w:ascii="Calibri" w:eastAsia="Times New Roman" w:hAnsi="Calibri" w:cs="Calibri"/>
                      <w:b/>
                      <w:bCs/>
                      <w:color w:val="000000"/>
                      <w:sz w:val="32"/>
                      <w:szCs w:val="28"/>
                      <w:lang w:eastAsia="fr-FR"/>
                    </w:rPr>
                    <w:t xml:space="preserve">        </w:t>
                  </w:r>
                  <w:r w:rsidR="00C274D6" w:rsidRPr="00C274D6">
                    <w:rPr>
                      <w:rFonts w:ascii="Calibri" w:eastAsia="Times New Roman" w:hAnsi="Calibri" w:cs="Calibri"/>
                      <w:b/>
                      <w:bCs/>
                      <w:color w:val="000000"/>
                      <w:sz w:val="32"/>
                      <w:szCs w:val="28"/>
                      <w:lang w:eastAsia="fr-FR"/>
                    </w:rPr>
                    <w:t>Prix moyen des fermages en Europe en €/ha en 2022</w:t>
                  </w:r>
                </w:p>
              </w:tc>
            </w:tr>
            <w:tr w:rsidR="00C274D6" w:rsidRPr="00C274D6" w:rsidTr="00C274D6">
              <w:trPr>
                <w:trHeight w:val="366"/>
              </w:trPr>
              <w:tc>
                <w:tcPr>
                  <w:tcW w:w="8636" w:type="dxa"/>
                  <w:tcBorders>
                    <w:top w:val="nil"/>
                    <w:left w:val="nil"/>
                    <w:bottom w:val="nil"/>
                    <w:right w:val="nil"/>
                  </w:tcBorders>
                  <w:shd w:val="clear" w:color="auto" w:fill="auto"/>
                  <w:noWrap/>
                  <w:vAlign w:val="bottom"/>
                  <w:hideMark/>
                </w:tcPr>
                <w:p w:rsidR="00C274D6" w:rsidRPr="00C274D6" w:rsidRDefault="00C274D6" w:rsidP="00C274D6">
                  <w:pPr>
                    <w:ind w:left="0" w:firstLine="0"/>
                    <w:rPr>
                      <w:rFonts w:ascii="Calibri" w:eastAsia="Times New Roman" w:hAnsi="Calibri" w:cs="Calibri"/>
                      <w:color w:val="000000"/>
                      <w:lang w:eastAsia="fr-FR"/>
                    </w:rPr>
                  </w:pPr>
                </w:p>
                <w:tbl>
                  <w:tblPr>
                    <w:tblW w:w="0" w:type="auto"/>
                    <w:tblCellSpacing w:w="0" w:type="dxa"/>
                    <w:tblCellMar>
                      <w:left w:w="0" w:type="dxa"/>
                      <w:right w:w="0" w:type="dxa"/>
                    </w:tblCellMar>
                    <w:tblLook w:val="04A0"/>
                  </w:tblPr>
                  <w:tblGrid>
                    <w:gridCol w:w="2160"/>
                  </w:tblGrid>
                  <w:tr w:rsidR="00C274D6" w:rsidRPr="00C274D6">
                    <w:trPr>
                      <w:trHeight w:val="366"/>
                      <w:tblCellSpacing w:w="0" w:type="dxa"/>
                    </w:trPr>
                    <w:tc>
                      <w:tcPr>
                        <w:tcW w:w="2160"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bl>
                <w:p w:rsidR="00C274D6" w:rsidRPr="00C274D6" w:rsidRDefault="00C274D6" w:rsidP="00C274D6">
                  <w:pPr>
                    <w:ind w:left="0" w:firstLine="0"/>
                    <w:rPr>
                      <w:rFonts w:ascii="Calibri" w:eastAsia="Times New Roman" w:hAnsi="Calibri" w:cs="Calibri"/>
                      <w:color w:val="000000"/>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BE7953" w:rsidP="00C274D6">
                  <w:pPr>
                    <w:ind w:left="0" w:firstLine="0"/>
                    <w:jc w:val="center"/>
                    <w:rPr>
                      <w:rFonts w:ascii="Calibri" w:eastAsia="Times New Roman" w:hAnsi="Calibri" w:cs="Calibri"/>
                      <w:b/>
                      <w:bCs/>
                      <w:color w:val="000000"/>
                      <w:sz w:val="28"/>
                      <w:szCs w:val="28"/>
                      <w:lang w:eastAsia="fr-FR"/>
                    </w:rPr>
                  </w:pPr>
                  <w:r>
                    <w:rPr>
                      <w:rFonts w:ascii="Calibri" w:eastAsia="Times New Roman" w:hAnsi="Calibri" w:cs="Calibri"/>
                      <w:b/>
                      <w:bCs/>
                      <w:noProof/>
                      <w:color w:val="000000"/>
                      <w:sz w:val="28"/>
                      <w:szCs w:val="28"/>
                      <w:lang w:eastAsia="fr-FR"/>
                    </w:rPr>
                    <w:drawing>
                      <wp:anchor distT="0" distB="0" distL="114300" distR="114300" simplePos="0" relativeHeight="251662336" behindDoc="0" locked="0" layoutInCell="1" allowOverlap="1">
                        <wp:simplePos x="0" y="0"/>
                        <wp:positionH relativeFrom="column">
                          <wp:posOffset>-256540</wp:posOffset>
                        </wp:positionH>
                        <wp:positionV relativeFrom="paragraph">
                          <wp:posOffset>45085</wp:posOffset>
                        </wp:positionV>
                        <wp:extent cx="6125210" cy="2778125"/>
                        <wp:effectExtent l="19050" t="0" r="27940" b="3175"/>
                        <wp:wrapNone/>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C274D6" w:rsidRPr="00C274D6" w:rsidTr="00C274D6">
              <w:trPr>
                <w:trHeight w:val="366"/>
              </w:trPr>
              <w:tc>
                <w:tcPr>
                  <w:tcW w:w="8636"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C274D6" w:rsidRPr="00C274D6" w:rsidRDefault="00C274D6" w:rsidP="00C274D6">
                  <w:pPr>
                    <w:ind w:left="0" w:firstLine="0"/>
                    <w:jc w:val="center"/>
                    <w:rPr>
                      <w:rFonts w:ascii="Calibri" w:eastAsia="Times New Roman" w:hAnsi="Calibri" w:cs="Calibri"/>
                      <w:b/>
                      <w:bCs/>
                      <w:color w:val="000000"/>
                      <w:sz w:val="28"/>
                      <w:szCs w:val="28"/>
                      <w:lang w:eastAsia="fr-FR"/>
                    </w:rPr>
                  </w:pPr>
                </w:p>
              </w:tc>
            </w:tr>
            <w:tr w:rsidR="003A23D8" w:rsidRPr="00C274D6" w:rsidTr="00C274D6">
              <w:trPr>
                <w:trHeight w:val="366"/>
              </w:trPr>
              <w:tc>
                <w:tcPr>
                  <w:tcW w:w="8636" w:type="dxa"/>
                  <w:tcBorders>
                    <w:top w:val="nil"/>
                    <w:left w:val="nil"/>
                    <w:bottom w:val="nil"/>
                    <w:right w:val="nil"/>
                  </w:tcBorders>
                  <w:shd w:val="clear" w:color="auto" w:fill="auto"/>
                  <w:noWrap/>
                  <w:vAlign w:val="center"/>
                  <w:hideMark/>
                </w:tcPr>
                <w:tbl>
                  <w:tblPr>
                    <w:tblW w:w="15566" w:type="dxa"/>
                    <w:tblCellMar>
                      <w:left w:w="70" w:type="dxa"/>
                      <w:right w:w="70" w:type="dxa"/>
                    </w:tblCellMar>
                    <w:tblLook w:val="04A0"/>
                  </w:tblPr>
                  <w:tblGrid>
                    <w:gridCol w:w="8365"/>
                    <w:gridCol w:w="1420"/>
                    <w:gridCol w:w="1927"/>
                    <w:gridCol w:w="1927"/>
                    <w:gridCol w:w="1927"/>
                  </w:tblGrid>
                  <w:tr w:rsidR="003A23D8" w:rsidRPr="003A23D8" w:rsidTr="00A852CA">
                    <w:trPr>
                      <w:trHeight w:val="366"/>
                    </w:trPr>
                    <w:tc>
                      <w:tcPr>
                        <w:tcW w:w="8365" w:type="dxa"/>
                        <w:tcBorders>
                          <w:top w:val="nil"/>
                          <w:left w:val="nil"/>
                          <w:bottom w:val="nil"/>
                          <w:right w:val="nil"/>
                        </w:tcBorders>
                        <w:shd w:val="clear" w:color="auto" w:fill="auto"/>
                        <w:noWrap/>
                        <w:vAlign w:val="center"/>
                        <w:hideMark/>
                      </w:tcPr>
                      <w:p w:rsidR="003A23D8" w:rsidRPr="003A23D8" w:rsidRDefault="003A23D8" w:rsidP="00AA7F68">
                        <w:pPr>
                          <w:rPr>
                            <w:rFonts w:ascii="Calibri" w:eastAsia="Times New Roman" w:hAnsi="Calibri" w:cs="Calibri"/>
                            <w:b/>
                            <w:bCs/>
                            <w:color w:val="000000"/>
                            <w:sz w:val="28"/>
                            <w:szCs w:val="28"/>
                            <w:lang w:eastAsia="fr-FR"/>
                          </w:rPr>
                        </w:pPr>
                      </w:p>
                    </w:tc>
                    <w:tc>
                      <w:tcPr>
                        <w:tcW w:w="1420"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r>
                  <w:tr w:rsidR="003A23D8" w:rsidRPr="003A23D8" w:rsidTr="00A852CA">
                    <w:trPr>
                      <w:trHeight w:val="366"/>
                    </w:trPr>
                    <w:tc>
                      <w:tcPr>
                        <w:tcW w:w="8365"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420"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r>
                  <w:tr w:rsidR="003A23D8" w:rsidRPr="003A23D8" w:rsidTr="00A852CA">
                    <w:trPr>
                      <w:trHeight w:val="366"/>
                    </w:trPr>
                    <w:tc>
                      <w:tcPr>
                        <w:tcW w:w="8365" w:type="dxa"/>
                        <w:tcBorders>
                          <w:top w:val="nil"/>
                          <w:left w:val="nil"/>
                          <w:bottom w:val="nil"/>
                          <w:right w:val="nil"/>
                        </w:tcBorders>
                        <w:shd w:val="clear" w:color="auto" w:fill="auto"/>
                        <w:noWrap/>
                        <w:vAlign w:val="center"/>
                        <w:hideMark/>
                      </w:tcPr>
                      <w:p w:rsidR="003A23D8" w:rsidRDefault="003A23D8" w:rsidP="003A23D8">
                        <w:pPr>
                          <w:ind w:left="0" w:firstLine="0"/>
                          <w:jc w:val="center"/>
                          <w:rPr>
                            <w:rFonts w:ascii="Calibri" w:eastAsia="Times New Roman" w:hAnsi="Calibri" w:cs="Calibri"/>
                            <w:b/>
                            <w:bCs/>
                            <w:color w:val="000000"/>
                            <w:sz w:val="28"/>
                            <w:szCs w:val="28"/>
                            <w:lang w:eastAsia="fr-FR"/>
                          </w:rPr>
                        </w:pPr>
                      </w:p>
                      <w:p w:rsidR="000B15CD" w:rsidRDefault="000B15CD" w:rsidP="003A23D8">
                        <w:pPr>
                          <w:ind w:left="0" w:firstLine="0"/>
                          <w:jc w:val="center"/>
                          <w:rPr>
                            <w:rFonts w:ascii="Calibri" w:eastAsia="Times New Roman" w:hAnsi="Calibri" w:cs="Calibri"/>
                            <w:b/>
                            <w:bCs/>
                            <w:color w:val="000000"/>
                            <w:sz w:val="28"/>
                            <w:szCs w:val="28"/>
                            <w:lang w:eastAsia="fr-FR"/>
                          </w:rPr>
                        </w:pPr>
                      </w:p>
                      <w:p w:rsidR="000B15CD" w:rsidRDefault="000B15CD" w:rsidP="003A23D8">
                        <w:pPr>
                          <w:ind w:left="0" w:firstLine="0"/>
                          <w:jc w:val="center"/>
                          <w:rPr>
                            <w:rFonts w:ascii="Calibri" w:eastAsia="Times New Roman" w:hAnsi="Calibri" w:cs="Calibri"/>
                            <w:b/>
                            <w:bCs/>
                            <w:color w:val="000000"/>
                            <w:sz w:val="28"/>
                            <w:szCs w:val="28"/>
                            <w:lang w:eastAsia="fr-FR"/>
                          </w:rPr>
                        </w:pPr>
                      </w:p>
                      <w:p w:rsidR="000B15CD" w:rsidRPr="003A23D8" w:rsidRDefault="00A852CA" w:rsidP="00A852CA">
                        <w:pPr>
                          <w:ind w:left="0" w:right="-2622" w:firstLine="0"/>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 xml:space="preserve">               </w:t>
                        </w:r>
                        <w:r w:rsidRPr="00E84A25">
                          <w:rPr>
                            <w:rFonts w:ascii="Calibri" w:eastAsia="Times New Roman" w:hAnsi="Calibri" w:cs="Calibri"/>
                            <w:b/>
                            <w:bCs/>
                            <w:color w:val="000000"/>
                            <w:sz w:val="32"/>
                            <w:szCs w:val="28"/>
                            <w:lang w:eastAsia="fr-FR"/>
                          </w:rPr>
                          <w:t>Rentabilité moyenne d’un hectare en Europe en 2022</w:t>
                        </w:r>
                      </w:p>
                    </w:tc>
                    <w:tc>
                      <w:tcPr>
                        <w:tcW w:w="1420"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3A23D8" w:rsidRPr="003A23D8" w:rsidRDefault="003A23D8" w:rsidP="003A23D8">
                        <w:pPr>
                          <w:ind w:left="0" w:firstLine="0"/>
                          <w:jc w:val="center"/>
                          <w:rPr>
                            <w:rFonts w:ascii="Calibri" w:eastAsia="Times New Roman" w:hAnsi="Calibri" w:cs="Calibri"/>
                            <w:b/>
                            <w:bCs/>
                            <w:color w:val="000000"/>
                            <w:sz w:val="28"/>
                            <w:szCs w:val="28"/>
                            <w:lang w:eastAsia="fr-FR"/>
                          </w:rPr>
                        </w:pPr>
                      </w:p>
                    </w:tc>
                  </w:tr>
                </w:tbl>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c>
                <w:tcPr>
                  <w:tcW w:w="24" w:type="dxa"/>
                  <w:tcBorders>
                    <w:top w:val="nil"/>
                    <w:left w:val="nil"/>
                    <w:bottom w:val="nil"/>
                    <w:right w:val="nil"/>
                  </w:tcBorders>
                  <w:shd w:val="clear" w:color="auto" w:fill="auto"/>
                  <w:noWrap/>
                  <w:vAlign w:val="center"/>
                  <w:hideMark/>
                </w:tcPr>
                <w:p w:rsidR="003A23D8" w:rsidRPr="00C274D6" w:rsidRDefault="003A23D8" w:rsidP="00C274D6">
                  <w:pPr>
                    <w:ind w:left="0" w:firstLine="0"/>
                    <w:jc w:val="center"/>
                    <w:rPr>
                      <w:rFonts w:ascii="Calibri" w:eastAsia="Times New Roman" w:hAnsi="Calibri" w:cs="Calibri"/>
                      <w:b/>
                      <w:bCs/>
                      <w:color w:val="000000"/>
                      <w:sz w:val="28"/>
                      <w:szCs w:val="28"/>
                      <w:lang w:eastAsia="fr-FR"/>
                    </w:rPr>
                  </w:pPr>
                </w:p>
              </w:tc>
            </w:tr>
          </w:tbl>
          <w:p w:rsidR="00C274D6" w:rsidRPr="005C735E" w:rsidRDefault="00C274D6"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tbl>
            <w:tblPr>
              <w:tblW w:w="9636" w:type="dxa"/>
              <w:tblCellMar>
                <w:left w:w="70" w:type="dxa"/>
                <w:right w:w="70" w:type="dxa"/>
              </w:tblCellMar>
              <w:tblLook w:val="04A0"/>
            </w:tblPr>
            <w:tblGrid>
              <w:gridCol w:w="1953"/>
              <w:gridCol w:w="1952"/>
              <w:gridCol w:w="1952"/>
              <w:gridCol w:w="1952"/>
              <w:gridCol w:w="1952"/>
            </w:tblGrid>
            <w:tr w:rsidR="007923D7" w:rsidRPr="007923D7" w:rsidTr="007923D7">
              <w:trPr>
                <w:trHeight w:val="366"/>
              </w:trPr>
              <w:tc>
                <w:tcPr>
                  <w:tcW w:w="9636" w:type="dxa"/>
                  <w:gridSpan w:val="5"/>
                  <w:tcBorders>
                    <w:top w:val="nil"/>
                    <w:left w:val="nil"/>
                    <w:bottom w:val="nil"/>
                    <w:right w:val="nil"/>
                  </w:tcBorders>
                  <w:shd w:val="clear" w:color="auto" w:fill="auto"/>
                  <w:noWrap/>
                  <w:vAlign w:val="bottom"/>
                  <w:hideMark/>
                </w:tcPr>
                <w:p w:rsidR="007923D7" w:rsidRPr="007923D7" w:rsidRDefault="007923D7" w:rsidP="007923D7">
                  <w:pPr>
                    <w:ind w:left="0" w:firstLine="0"/>
                    <w:rPr>
                      <w:rFonts w:ascii="Calibri" w:eastAsia="Times New Roman" w:hAnsi="Calibri" w:cs="Calibri"/>
                      <w:color w:val="000000"/>
                      <w:lang w:eastAsia="fr-FR"/>
                    </w:rPr>
                  </w:pPr>
                  <w:r>
                    <w:rPr>
                      <w:rFonts w:ascii="Calibri" w:eastAsia="Times New Roman" w:hAnsi="Calibri" w:cs="Calibri"/>
                      <w:noProof/>
                      <w:color w:val="000000"/>
                      <w:lang w:eastAsia="fr-FR"/>
                    </w:rPr>
                    <w:lastRenderedPageBreak/>
                    <w:drawing>
                      <wp:anchor distT="0" distB="0" distL="114300" distR="114300" simplePos="0" relativeHeight="251658240" behindDoc="0" locked="0" layoutInCell="1" allowOverlap="1">
                        <wp:simplePos x="0" y="0"/>
                        <wp:positionH relativeFrom="column">
                          <wp:posOffset>27305</wp:posOffset>
                        </wp:positionH>
                        <wp:positionV relativeFrom="paragraph">
                          <wp:posOffset>231775</wp:posOffset>
                        </wp:positionV>
                        <wp:extent cx="6080125" cy="2763520"/>
                        <wp:effectExtent l="19050" t="0" r="15875" b="0"/>
                        <wp:wrapNone/>
                        <wp:docPr id="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bl>
                  <w:tblPr>
                    <w:tblW w:w="0" w:type="auto"/>
                    <w:tblCellSpacing w:w="0" w:type="dxa"/>
                    <w:tblCellMar>
                      <w:left w:w="0" w:type="dxa"/>
                      <w:right w:w="0" w:type="dxa"/>
                    </w:tblCellMar>
                    <w:tblLook w:val="04A0"/>
                  </w:tblPr>
                  <w:tblGrid>
                    <w:gridCol w:w="9620"/>
                  </w:tblGrid>
                  <w:tr w:rsidR="007923D7" w:rsidRPr="007923D7">
                    <w:trPr>
                      <w:trHeight w:val="366"/>
                      <w:tblCellSpacing w:w="0" w:type="dxa"/>
                    </w:trPr>
                    <w:tc>
                      <w:tcPr>
                        <w:tcW w:w="9620"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r w:rsidRPr="007923D7">
                          <w:rPr>
                            <w:rFonts w:ascii="Calibri" w:eastAsia="Times New Roman" w:hAnsi="Calibri" w:cs="Calibri"/>
                            <w:b/>
                            <w:bCs/>
                            <w:color w:val="000000"/>
                            <w:sz w:val="28"/>
                            <w:szCs w:val="28"/>
                            <w:lang w:eastAsia="fr-FR"/>
                          </w:rPr>
                          <w:t xml:space="preserve"> Rentabilité moyenne en € par hectare en 2022 </w:t>
                        </w:r>
                      </w:p>
                    </w:tc>
                  </w:tr>
                </w:tbl>
                <w:p w:rsidR="007923D7" w:rsidRPr="007923D7" w:rsidRDefault="007923D7" w:rsidP="007923D7">
                  <w:pPr>
                    <w:ind w:left="0" w:firstLine="0"/>
                    <w:rPr>
                      <w:rFonts w:ascii="Calibri" w:eastAsia="Times New Roman" w:hAnsi="Calibri" w:cs="Calibri"/>
                      <w:color w:val="000000"/>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r w:rsidR="007923D7" w:rsidRPr="007923D7" w:rsidTr="007923D7">
              <w:trPr>
                <w:trHeight w:val="366"/>
              </w:trPr>
              <w:tc>
                <w:tcPr>
                  <w:tcW w:w="1928"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c>
                <w:tcPr>
                  <w:tcW w:w="1927" w:type="dxa"/>
                  <w:tcBorders>
                    <w:top w:val="nil"/>
                    <w:left w:val="nil"/>
                    <w:bottom w:val="nil"/>
                    <w:right w:val="nil"/>
                  </w:tcBorders>
                  <w:shd w:val="clear" w:color="auto" w:fill="auto"/>
                  <w:noWrap/>
                  <w:vAlign w:val="center"/>
                  <w:hideMark/>
                </w:tcPr>
                <w:p w:rsidR="007923D7" w:rsidRPr="007923D7" w:rsidRDefault="007923D7" w:rsidP="007923D7">
                  <w:pPr>
                    <w:ind w:left="0" w:firstLine="0"/>
                    <w:jc w:val="center"/>
                    <w:rPr>
                      <w:rFonts w:ascii="Calibri" w:eastAsia="Times New Roman" w:hAnsi="Calibri" w:cs="Calibri"/>
                      <w:b/>
                      <w:bCs/>
                      <w:color w:val="000000"/>
                      <w:sz w:val="28"/>
                      <w:szCs w:val="28"/>
                      <w:lang w:eastAsia="fr-FR"/>
                    </w:rPr>
                  </w:pPr>
                </w:p>
              </w:tc>
            </w:tr>
          </w:tbl>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r w:rsidR="005C735E" w:rsidRPr="005C735E" w:rsidTr="00662DEA">
        <w:trPr>
          <w:trHeight w:val="366"/>
        </w:trPr>
        <w:tc>
          <w:tcPr>
            <w:tcW w:w="11048"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46"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c>
          <w:tcPr>
            <w:tcW w:w="160" w:type="dxa"/>
            <w:gridSpan w:val="2"/>
            <w:tcBorders>
              <w:top w:val="nil"/>
              <w:left w:val="nil"/>
              <w:bottom w:val="nil"/>
              <w:right w:val="nil"/>
            </w:tcBorders>
            <w:shd w:val="clear" w:color="auto" w:fill="auto"/>
            <w:noWrap/>
            <w:vAlign w:val="center"/>
            <w:hideMark/>
          </w:tcPr>
          <w:p w:rsidR="005C735E" w:rsidRPr="005C735E" w:rsidRDefault="005C735E" w:rsidP="005C735E">
            <w:pPr>
              <w:ind w:left="0" w:firstLine="0"/>
              <w:jc w:val="center"/>
              <w:rPr>
                <w:rFonts w:ascii="Calibri" w:eastAsia="Times New Roman" w:hAnsi="Calibri" w:cs="Calibri"/>
                <w:b/>
                <w:bCs/>
                <w:color w:val="000000"/>
                <w:sz w:val="28"/>
                <w:szCs w:val="28"/>
                <w:lang w:eastAsia="fr-FR"/>
              </w:rPr>
            </w:pPr>
          </w:p>
        </w:tc>
      </w:tr>
    </w:tbl>
    <w:p w:rsidR="005C735E" w:rsidRDefault="005C735E" w:rsidP="0028779C">
      <w:pPr>
        <w:jc w:val="both"/>
        <w:rPr>
          <w:sz w:val="28"/>
        </w:rPr>
      </w:pPr>
    </w:p>
    <w:p w:rsidR="0028779C" w:rsidRPr="0028779C" w:rsidRDefault="0028779C" w:rsidP="0028779C">
      <w:pPr>
        <w:jc w:val="both"/>
        <w:rPr>
          <w:sz w:val="28"/>
        </w:rPr>
      </w:pPr>
    </w:p>
    <w:p w:rsidR="0048760C" w:rsidRDefault="0048760C" w:rsidP="00AD40D0">
      <w:pPr>
        <w:jc w:val="both"/>
        <w:rPr>
          <w:sz w:val="28"/>
        </w:rPr>
      </w:pPr>
    </w:p>
    <w:p w:rsidR="0048760C" w:rsidRPr="000041C1" w:rsidRDefault="000041C1" w:rsidP="00AD40D0">
      <w:pPr>
        <w:jc w:val="both"/>
        <w:rPr>
          <w:b/>
          <w:sz w:val="28"/>
        </w:rPr>
      </w:pPr>
      <w:r w:rsidRPr="000041C1">
        <w:rPr>
          <w:b/>
          <w:sz w:val="28"/>
        </w:rPr>
        <w:t>Olivier de Bony</w:t>
      </w:r>
    </w:p>
    <w:p w:rsidR="000041C1" w:rsidRPr="000041C1" w:rsidRDefault="000041C1" w:rsidP="00AD40D0">
      <w:pPr>
        <w:jc w:val="both"/>
        <w:rPr>
          <w:b/>
          <w:sz w:val="28"/>
        </w:rPr>
      </w:pPr>
      <w:r w:rsidRPr="000041C1">
        <w:rPr>
          <w:b/>
          <w:sz w:val="28"/>
        </w:rPr>
        <w:t>SDPPR 79</w:t>
      </w:r>
    </w:p>
    <w:p w:rsidR="000041C1" w:rsidRPr="000041C1" w:rsidRDefault="000041C1" w:rsidP="00AD40D0">
      <w:pPr>
        <w:jc w:val="both"/>
        <w:rPr>
          <w:b/>
          <w:sz w:val="28"/>
        </w:rPr>
      </w:pPr>
    </w:p>
    <w:p w:rsidR="000041C1" w:rsidRPr="000041C1" w:rsidRDefault="000041C1" w:rsidP="00AD40D0">
      <w:pPr>
        <w:jc w:val="both"/>
        <w:rPr>
          <w:b/>
          <w:sz w:val="28"/>
        </w:rPr>
      </w:pPr>
      <w:r w:rsidRPr="000041C1">
        <w:rPr>
          <w:b/>
          <w:sz w:val="28"/>
        </w:rPr>
        <w:t>Mise à jour : avril 2024</w:t>
      </w:r>
    </w:p>
    <w:sectPr w:rsidR="000041C1" w:rsidRPr="000041C1" w:rsidSect="004000F1">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5D" w:rsidRDefault="00630D5D" w:rsidP="00806977">
      <w:r>
        <w:separator/>
      </w:r>
    </w:p>
  </w:endnote>
  <w:endnote w:type="continuationSeparator" w:id="1">
    <w:p w:rsidR="00630D5D" w:rsidRDefault="00630D5D" w:rsidP="00806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7" w:rsidRDefault="0080697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7" w:rsidRDefault="0080697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7" w:rsidRDefault="008069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5D" w:rsidRDefault="00630D5D" w:rsidP="00806977">
      <w:r>
        <w:separator/>
      </w:r>
    </w:p>
  </w:footnote>
  <w:footnote w:type="continuationSeparator" w:id="1">
    <w:p w:rsidR="00630D5D" w:rsidRDefault="00630D5D" w:rsidP="00806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7" w:rsidRDefault="0080697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669485"/>
      <w:docPartObj>
        <w:docPartGallery w:val="Page Numbers (Top of Page)"/>
        <w:docPartUnique/>
      </w:docPartObj>
    </w:sdtPr>
    <w:sdtContent>
      <w:p w:rsidR="00806977" w:rsidRDefault="0030241C">
        <w:pPr>
          <w:pStyle w:val="En-tte"/>
          <w:jc w:val="right"/>
        </w:pPr>
        <w:fldSimple w:instr=" PAGE   \* MERGEFORMAT ">
          <w:r w:rsidR="004000F1">
            <w:rPr>
              <w:noProof/>
            </w:rPr>
            <w:t>4</w:t>
          </w:r>
        </w:fldSimple>
      </w:p>
    </w:sdtContent>
  </w:sdt>
  <w:p w:rsidR="00806977" w:rsidRDefault="0080697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7" w:rsidRDefault="0080697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37B49"/>
    <w:multiLevelType w:val="hybridMultilevel"/>
    <w:tmpl w:val="3BB62300"/>
    <w:lvl w:ilvl="0" w:tplc="16423C42">
      <w:start w:val="1"/>
      <w:numFmt w:val="decimal"/>
      <w:lvlText w:val="%1)"/>
      <w:lvlJc w:val="left"/>
      <w:pPr>
        <w:ind w:left="424" w:hanging="360"/>
      </w:pPr>
      <w:rPr>
        <w:rFonts w:hint="default"/>
      </w:rPr>
    </w:lvl>
    <w:lvl w:ilvl="1" w:tplc="040C0019" w:tentative="1">
      <w:start w:val="1"/>
      <w:numFmt w:val="lowerLetter"/>
      <w:lvlText w:val="%2."/>
      <w:lvlJc w:val="left"/>
      <w:pPr>
        <w:ind w:left="1144" w:hanging="360"/>
      </w:pPr>
    </w:lvl>
    <w:lvl w:ilvl="2" w:tplc="040C001B" w:tentative="1">
      <w:start w:val="1"/>
      <w:numFmt w:val="lowerRoman"/>
      <w:lvlText w:val="%3."/>
      <w:lvlJc w:val="right"/>
      <w:pPr>
        <w:ind w:left="1864" w:hanging="180"/>
      </w:pPr>
    </w:lvl>
    <w:lvl w:ilvl="3" w:tplc="040C000F" w:tentative="1">
      <w:start w:val="1"/>
      <w:numFmt w:val="decimal"/>
      <w:lvlText w:val="%4."/>
      <w:lvlJc w:val="left"/>
      <w:pPr>
        <w:ind w:left="2584" w:hanging="360"/>
      </w:pPr>
    </w:lvl>
    <w:lvl w:ilvl="4" w:tplc="040C0019" w:tentative="1">
      <w:start w:val="1"/>
      <w:numFmt w:val="lowerLetter"/>
      <w:lvlText w:val="%5."/>
      <w:lvlJc w:val="left"/>
      <w:pPr>
        <w:ind w:left="3304" w:hanging="360"/>
      </w:pPr>
    </w:lvl>
    <w:lvl w:ilvl="5" w:tplc="040C001B" w:tentative="1">
      <w:start w:val="1"/>
      <w:numFmt w:val="lowerRoman"/>
      <w:lvlText w:val="%6."/>
      <w:lvlJc w:val="right"/>
      <w:pPr>
        <w:ind w:left="4024" w:hanging="180"/>
      </w:pPr>
    </w:lvl>
    <w:lvl w:ilvl="6" w:tplc="040C000F" w:tentative="1">
      <w:start w:val="1"/>
      <w:numFmt w:val="decimal"/>
      <w:lvlText w:val="%7."/>
      <w:lvlJc w:val="left"/>
      <w:pPr>
        <w:ind w:left="4744" w:hanging="360"/>
      </w:pPr>
    </w:lvl>
    <w:lvl w:ilvl="7" w:tplc="040C0019" w:tentative="1">
      <w:start w:val="1"/>
      <w:numFmt w:val="lowerLetter"/>
      <w:lvlText w:val="%8."/>
      <w:lvlJc w:val="left"/>
      <w:pPr>
        <w:ind w:left="5464" w:hanging="360"/>
      </w:pPr>
    </w:lvl>
    <w:lvl w:ilvl="8" w:tplc="040C001B" w:tentative="1">
      <w:start w:val="1"/>
      <w:numFmt w:val="lowerRoman"/>
      <w:lvlText w:val="%9."/>
      <w:lvlJc w:val="right"/>
      <w:pPr>
        <w:ind w:left="618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1B40"/>
    <w:rsid w:val="000041C1"/>
    <w:rsid w:val="000B15CD"/>
    <w:rsid w:val="000C4B69"/>
    <w:rsid w:val="00224BEE"/>
    <w:rsid w:val="00234883"/>
    <w:rsid w:val="0024242F"/>
    <w:rsid w:val="0028779C"/>
    <w:rsid w:val="0030241C"/>
    <w:rsid w:val="003A23D8"/>
    <w:rsid w:val="004000F1"/>
    <w:rsid w:val="004645FE"/>
    <w:rsid w:val="0048760C"/>
    <w:rsid w:val="005C735E"/>
    <w:rsid w:val="00630D5D"/>
    <w:rsid w:val="00634632"/>
    <w:rsid w:val="0065145C"/>
    <w:rsid w:val="00662DEA"/>
    <w:rsid w:val="006B2724"/>
    <w:rsid w:val="006F1121"/>
    <w:rsid w:val="00785848"/>
    <w:rsid w:val="007923D7"/>
    <w:rsid w:val="0080360D"/>
    <w:rsid w:val="00806977"/>
    <w:rsid w:val="0081702A"/>
    <w:rsid w:val="00915ED7"/>
    <w:rsid w:val="009A42B6"/>
    <w:rsid w:val="00A852CA"/>
    <w:rsid w:val="00AA7F68"/>
    <w:rsid w:val="00AD40D0"/>
    <w:rsid w:val="00BE7953"/>
    <w:rsid w:val="00BF78AE"/>
    <w:rsid w:val="00C21C1E"/>
    <w:rsid w:val="00C274D6"/>
    <w:rsid w:val="00CC7CD7"/>
    <w:rsid w:val="00D72144"/>
    <w:rsid w:val="00E84A25"/>
    <w:rsid w:val="00EE5BD1"/>
    <w:rsid w:val="00EE7270"/>
    <w:rsid w:val="00F41B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2724"/>
    <w:pPr>
      <w:ind w:left="720"/>
      <w:contextualSpacing/>
    </w:pPr>
  </w:style>
  <w:style w:type="paragraph" w:styleId="En-tte">
    <w:name w:val="header"/>
    <w:basedOn w:val="Normal"/>
    <w:link w:val="En-tteCar"/>
    <w:uiPriority w:val="99"/>
    <w:unhideWhenUsed/>
    <w:rsid w:val="00806977"/>
    <w:pPr>
      <w:tabs>
        <w:tab w:val="center" w:pos="4536"/>
        <w:tab w:val="right" w:pos="9072"/>
      </w:tabs>
    </w:pPr>
  </w:style>
  <w:style w:type="character" w:customStyle="1" w:styleId="En-tteCar">
    <w:name w:val="En-tête Car"/>
    <w:basedOn w:val="Policepardfaut"/>
    <w:link w:val="En-tte"/>
    <w:uiPriority w:val="99"/>
    <w:rsid w:val="00806977"/>
  </w:style>
  <w:style w:type="paragraph" w:styleId="Pieddepage">
    <w:name w:val="footer"/>
    <w:basedOn w:val="Normal"/>
    <w:link w:val="PieddepageCar"/>
    <w:uiPriority w:val="99"/>
    <w:semiHidden/>
    <w:unhideWhenUsed/>
    <w:rsid w:val="00806977"/>
    <w:pPr>
      <w:tabs>
        <w:tab w:val="center" w:pos="4536"/>
        <w:tab w:val="right" w:pos="9072"/>
      </w:tabs>
    </w:pPr>
  </w:style>
  <w:style w:type="character" w:customStyle="1" w:styleId="PieddepageCar">
    <w:name w:val="Pied de page Car"/>
    <w:basedOn w:val="Policepardfaut"/>
    <w:link w:val="Pieddepage"/>
    <w:uiPriority w:val="99"/>
    <w:semiHidden/>
    <w:rsid w:val="00806977"/>
  </w:style>
</w:styles>
</file>

<file path=word/webSettings.xml><?xml version="1.0" encoding="utf-8"?>
<w:webSettings xmlns:r="http://schemas.openxmlformats.org/officeDocument/2006/relationships" xmlns:w="http://schemas.openxmlformats.org/wordprocessingml/2006/main">
  <w:divs>
    <w:div w:id="95374708">
      <w:bodyDiv w:val="1"/>
      <w:marLeft w:val="0"/>
      <w:marRight w:val="0"/>
      <w:marTop w:val="0"/>
      <w:marBottom w:val="0"/>
      <w:divBdr>
        <w:top w:val="none" w:sz="0" w:space="0" w:color="auto"/>
        <w:left w:val="none" w:sz="0" w:space="0" w:color="auto"/>
        <w:bottom w:val="none" w:sz="0" w:space="0" w:color="auto"/>
        <w:right w:val="none" w:sz="0" w:space="0" w:color="auto"/>
      </w:divBdr>
    </w:div>
    <w:div w:id="739407163">
      <w:bodyDiv w:val="1"/>
      <w:marLeft w:val="0"/>
      <w:marRight w:val="0"/>
      <w:marTop w:val="0"/>
      <w:marBottom w:val="0"/>
      <w:divBdr>
        <w:top w:val="none" w:sz="0" w:space="0" w:color="auto"/>
        <w:left w:val="none" w:sz="0" w:space="0" w:color="auto"/>
        <w:bottom w:val="none" w:sz="0" w:space="0" w:color="auto"/>
        <w:right w:val="none" w:sz="0" w:space="0" w:color="auto"/>
      </w:divBdr>
    </w:div>
    <w:div w:id="1275097984">
      <w:bodyDiv w:val="1"/>
      <w:marLeft w:val="0"/>
      <w:marRight w:val="0"/>
      <w:marTop w:val="0"/>
      <w:marBottom w:val="0"/>
      <w:divBdr>
        <w:top w:val="none" w:sz="0" w:space="0" w:color="auto"/>
        <w:left w:val="none" w:sz="0" w:space="0" w:color="auto"/>
        <w:bottom w:val="none" w:sz="0" w:space="0" w:color="auto"/>
        <w:right w:val="none" w:sz="0" w:space="0" w:color="auto"/>
      </w:divBdr>
    </w:div>
    <w:div w:id="1293176283">
      <w:bodyDiv w:val="1"/>
      <w:marLeft w:val="0"/>
      <w:marRight w:val="0"/>
      <w:marTop w:val="0"/>
      <w:marBottom w:val="0"/>
      <w:divBdr>
        <w:top w:val="none" w:sz="0" w:space="0" w:color="auto"/>
        <w:left w:val="none" w:sz="0" w:space="0" w:color="auto"/>
        <w:bottom w:val="none" w:sz="0" w:space="0" w:color="auto"/>
        <w:right w:val="none" w:sz="0" w:space="0" w:color="auto"/>
      </w:divBdr>
    </w:div>
    <w:div w:id="1897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live\Documents\Classeu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spPr>
            <a:gradFill>
              <a:gsLst>
                <a:gs pos="0">
                  <a:srgbClr val="FF3399"/>
                </a:gs>
                <a:gs pos="25000">
                  <a:srgbClr val="FF6633"/>
                </a:gs>
                <a:gs pos="50000">
                  <a:srgbClr val="FFFF00"/>
                </a:gs>
                <a:gs pos="75000">
                  <a:srgbClr val="01A78F"/>
                </a:gs>
                <a:gs pos="100000">
                  <a:srgbClr val="3366FF"/>
                </a:gs>
              </a:gsLst>
              <a:lin ang="5400000" scaled="0"/>
            </a:gradFill>
          </c:spPr>
          <c:cat>
            <c:strRef>
              <c:f>Feuil1!$A$2:$A$21</c:f>
              <c:strCache>
                <c:ptCount val="20"/>
                <c:pt idx="0">
                  <c:v>Pays Bas</c:v>
                </c:pt>
                <c:pt idx="1">
                  <c:v>Luxembourg</c:v>
                </c:pt>
                <c:pt idx="2">
                  <c:v>Irlande</c:v>
                </c:pt>
                <c:pt idx="3">
                  <c:v>Slovénie</c:v>
                </c:pt>
                <c:pt idx="4">
                  <c:v>Danemark</c:v>
                </c:pt>
                <c:pt idx="5">
                  <c:v>Grèce</c:v>
                </c:pt>
                <c:pt idx="6">
                  <c:v>Rép. Tchèque</c:v>
                </c:pt>
                <c:pt idx="7">
                  <c:v>Pologne</c:v>
                </c:pt>
                <c:pt idx="8">
                  <c:v>Suède</c:v>
                </c:pt>
                <c:pt idx="9">
                  <c:v>Espagne</c:v>
                </c:pt>
                <c:pt idx="10">
                  <c:v>Finlande</c:v>
                </c:pt>
                <c:pt idx="11">
                  <c:v>Roumanie</c:v>
                </c:pt>
                <c:pt idx="12">
                  <c:v>Bulgarie</c:v>
                </c:pt>
                <c:pt idx="13">
                  <c:v>France</c:v>
                </c:pt>
                <c:pt idx="14">
                  <c:v>Estonie</c:v>
                </c:pt>
                <c:pt idx="15">
                  <c:v>Hongrie</c:v>
                </c:pt>
                <c:pt idx="16">
                  <c:v>Lituanie</c:v>
                </c:pt>
                <c:pt idx="17">
                  <c:v>Slovaquie</c:v>
                </c:pt>
                <c:pt idx="18">
                  <c:v>Lettonie</c:v>
                </c:pt>
                <c:pt idx="19">
                  <c:v>Croatie</c:v>
                </c:pt>
              </c:strCache>
            </c:strRef>
          </c:cat>
          <c:val>
            <c:numRef>
              <c:f>Feuil1!$B$2:$B$21</c:f>
              <c:numCache>
                <c:formatCode>_-* #,##0\ _€_-;\-* #,##0\ _€_-;_-* "-"??\ _€_-;_-@_-</c:formatCode>
                <c:ptCount val="20"/>
                <c:pt idx="0">
                  <c:v>85400</c:v>
                </c:pt>
                <c:pt idx="1">
                  <c:v>41000</c:v>
                </c:pt>
                <c:pt idx="2">
                  <c:v>39800</c:v>
                </c:pt>
                <c:pt idx="3">
                  <c:v>21000</c:v>
                </c:pt>
                <c:pt idx="4">
                  <c:v>20000</c:v>
                </c:pt>
                <c:pt idx="5">
                  <c:v>13000</c:v>
                </c:pt>
                <c:pt idx="6">
                  <c:v>12000</c:v>
                </c:pt>
                <c:pt idx="7">
                  <c:v>12000</c:v>
                </c:pt>
                <c:pt idx="8">
                  <c:v>11900</c:v>
                </c:pt>
                <c:pt idx="9">
                  <c:v>11000</c:v>
                </c:pt>
                <c:pt idx="10">
                  <c:v>9000</c:v>
                </c:pt>
                <c:pt idx="11">
                  <c:v>8000</c:v>
                </c:pt>
                <c:pt idx="12">
                  <c:v>7000</c:v>
                </c:pt>
                <c:pt idx="13">
                  <c:v>6130</c:v>
                </c:pt>
                <c:pt idx="14">
                  <c:v>5000</c:v>
                </c:pt>
                <c:pt idx="15">
                  <c:v>4500</c:v>
                </c:pt>
                <c:pt idx="16">
                  <c:v>4300</c:v>
                </c:pt>
                <c:pt idx="17">
                  <c:v>4000</c:v>
                </c:pt>
                <c:pt idx="18">
                  <c:v>3900</c:v>
                </c:pt>
                <c:pt idx="19">
                  <c:v>3700</c:v>
                </c:pt>
              </c:numCache>
            </c:numRef>
          </c:val>
        </c:ser>
        <c:axId val="90690304"/>
        <c:axId val="90691840"/>
      </c:barChart>
      <c:catAx>
        <c:axId val="90690304"/>
        <c:scaling>
          <c:orientation val="minMax"/>
        </c:scaling>
        <c:axPos val="b"/>
        <c:tickLblPos val="nextTo"/>
        <c:txPr>
          <a:bodyPr/>
          <a:lstStyle/>
          <a:p>
            <a:pPr>
              <a:defRPr sz="1100" b="1" i="0" baseline="0"/>
            </a:pPr>
            <a:endParaRPr lang="fr-FR"/>
          </a:p>
        </c:txPr>
        <c:crossAx val="90691840"/>
        <c:crosses val="autoZero"/>
        <c:auto val="1"/>
        <c:lblAlgn val="ctr"/>
        <c:lblOffset val="100"/>
      </c:catAx>
      <c:valAx>
        <c:axId val="90691840"/>
        <c:scaling>
          <c:orientation val="minMax"/>
        </c:scaling>
        <c:axPos val="l"/>
        <c:majorGridlines/>
        <c:numFmt formatCode="_-* #,##0\ _€_-;\-* #,##0\ _€_-;_-* &quot;-&quot;??\ _€_-;_-@_-" sourceLinked="1"/>
        <c:tickLblPos val="nextTo"/>
        <c:txPr>
          <a:bodyPr/>
          <a:lstStyle/>
          <a:p>
            <a:pPr>
              <a:defRPr sz="1100" b="1" i="0" baseline="0"/>
            </a:pPr>
            <a:endParaRPr lang="fr-FR"/>
          </a:p>
        </c:txPr>
        <c:crossAx val="906903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spPr>
            <a:gradFill>
              <a:gsLst>
                <a:gs pos="0">
                  <a:srgbClr val="03D4A8"/>
                </a:gs>
                <a:gs pos="25000">
                  <a:srgbClr val="21D6E0"/>
                </a:gs>
                <a:gs pos="75000">
                  <a:srgbClr val="0087E6"/>
                </a:gs>
                <a:gs pos="100000">
                  <a:srgbClr val="005CBF"/>
                </a:gs>
              </a:gsLst>
              <a:lin ang="5400000" scaled="0"/>
            </a:gradFill>
          </c:spPr>
          <c:cat>
            <c:strRef>
              <c:f>Feuil1!$C$2:$C$21</c:f>
              <c:strCache>
                <c:ptCount val="20"/>
                <c:pt idx="0">
                  <c:v>Pays Bas</c:v>
                </c:pt>
                <c:pt idx="1">
                  <c:v>Danemark</c:v>
                </c:pt>
                <c:pt idx="2">
                  <c:v>Grèce</c:v>
                </c:pt>
                <c:pt idx="3">
                  <c:v>Irlande</c:v>
                </c:pt>
                <c:pt idx="4">
                  <c:v>Bulgarie</c:v>
                </c:pt>
                <c:pt idx="5">
                  <c:v>Luxembourg</c:v>
                </c:pt>
                <c:pt idx="6">
                  <c:v>Pologne</c:v>
                </c:pt>
                <c:pt idx="7">
                  <c:v>Finlande</c:v>
                </c:pt>
                <c:pt idx="8">
                  <c:v>Lituanie</c:v>
                </c:pt>
                <c:pt idx="9">
                  <c:v>Hongrie</c:v>
                </c:pt>
                <c:pt idx="10">
                  <c:v>Espagne</c:v>
                </c:pt>
                <c:pt idx="11">
                  <c:v>Suède</c:v>
                </c:pt>
                <c:pt idx="12">
                  <c:v>France</c:v>
                </c:pt>
                <c:pt idx="13">
                  <c:v>Rép. Tchèque</c:v>
                </c:pt>
                <c:pt idx="14">
                  <c:v>Slovénie</c:v>
                </c:pt>
                <c:pt idx="15">
                  <c:v>Roumanie</c:v>
                </c:pt>
                <c:pt idx="16">
                  <c:v>Estonie</c:v>
                </c:pt>
                <c:pt idx="17">
                  <c:v>Lettonie</c:v>
                </c:pt>
                <c:pt idx="18">
                  <c:v>Croatie</c:v>
                </c:pt>
                <c:pt idx="19">
                  <c:v>Slovaquie</c:v>
                </c:pt>
              </c:strCache>
            </c:strRef>
          </c:cat>
          <c:val>
            <c:numRef>
              <c:f>Feuil1!$D$2:$D$21</c:f>
              <c:numCache>
                <c:formatCode>General</c:formatCode>
                <c:ptCount val="20"/>
                <c:pt idx="0">
                  <c:v>843</c:v>
                </c:pt>
                <c:pt idx="1">
                  <c:v>580</c:v>
                </c:pt>
                <c:pt idx="2">
                  <c:v>490</c:v>
                </c:pt>
                <c:pt idx="3">
                  <c:v>390</c:v>
                </c:pt>
                <c:pt idx="4">
                  <c:v>310</c:v>
                </c:pt>
                <c:pt idx="5">
                  <c:v>290</c:v>
                </c:pt>
                <c:pt idx="6">
                  <c:v>280</c:v>
                </c:pt>
                <c:pt idx="7">
                  <c:v>210</c:v>
                </c:pt>
                <c:pt idx="8">
                  <c:v>200</c:v>
                </c:pt>
                <c:pt idx="9">
                  <c:v>200</c:v>
                </c:pt>
                <c:pt idx="10">
                  <c:v>180</c:v>
                </c:pt>
                <c:pt idx="11">
                  <c:v>160</c:v>
                </c:pt>
                <c:pt idx="12">
                  <c:v>154</c:v>
                </c:pt>
                <c:pt idx="13">
                  <c:v>150</c:v>
                </c:pt>
                <c:pt idx="14">
                  <c:v>140</c:v>
                </c:pt>
                <c:pt idx="15">
                  <c:v>130</c:v>
                </c:pt>
                <c:pt idx="16">
                  <c:v>100</c:v>
                </c:pt>
                <c:pt idx="17">
                  <c:v>90</c:v>
                </c:pt>
                <c:pt idx="18">
                  <c:v>70</c:v>
                </c:pt>
                <c:pt idx="19">
                  <c:v>57</c:v>
                </c:pt>
              </c:numCache>
            </c:numRef>
          </c:val>
        </c:ser>
        <c:axId val="90698880"/>
        <c:axId val="90700416"/>
      </c:barChart>
      <c:catAx>
        <c:axId val="90698880"/>
        <c:scaling>
          <c:orientation val="minMax"/>
        </c:scaling>
        <c:axPos val="b"/>
        <c:tickLblPos val="nextTo"/>
        <c:txPr>
          <a:bodyPr/>
          <a:lstStyle/>
          <a:p>
            <a:pPr>
              <a:defRPr sz="1100" b="1" i="0" baseline="0"/>
            </a:pPr>
            <a:endParaRPr lang="fr-FR"/>
          </a:p>
        </c:txPr>
        <c:crossAx val="90700416"/>
        <c:crosses val="autoZero"/>
        <c:auto val="1"/>
        <c:lblAlgn val="ctr"/>
        <c:lblOffset val="100"/>
      </c:catAx>
      <c:valAx>
        <c:axId val="90700416"/>
        <c:scaling>
          <c:orientation val="minMax"/>
        </c:scaling>
        <c:axPos val="l"/>
        <c:majorGridlines/>
        <c:numFmt formatCode="General" sourceLinked="1"/>
        <c:tickLblPos val="nextTo"/>
        <c:txPr>
          <a:bodyPr/>
          <a:lstStyle/>
          <a:p>
            <a:pPr>
              <a:defRPr sz="1100" b="1" i="0" baseline="0"/>
            </a:pPr>
            <a:endParaRPr lang="fr-FR"/>
          </a:p>
        </c:txPr>
        <c:crossAx val="906988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spPr>
            <a:gradFill>
              <a:gsLst>
                <a:gs pos="0">
                  <a:srgbClr val="000000"/>
                </a:gs>
                <a:gs pos="39999">
                  <a:srgbClr val="0A128C"/>
                </a:gs>
                <a:gs pos="70000">
                  <a:srgbClr val="181CC7"/>
                </a:gs>
                <a:gs pos="88000">
                  <a:srgbClr val="7005D4"/>
                </a:gs>
                <a:gs pos="100000">
                  <a:srgbClr val="8C3D91"/>
                </a:gs>
              </a:gsLst>
              <a:lin ang="5400000" scaled="0"/>
            </a:gradFill>
          </c:spPr>
          <c:cat>
            <c:strRef>
              <c:f>Feuil1!$F$2:$F$21</c:f>
              <c:strCache>
                <c:ptCount val="20"/>
                <c:pt idx="0">
                  <c:v>Lituanie</c:v>
                </c:pt>
                <c:pt idx="1">
                  <c:v>Bulgarie</c:v>
                </c:pt>
                <c:pt idx="2">
                  <c:v>Hongrie</c:v>
                </c:pt>
                <c:pt idx="3">
                  <c:v>Grèce</c:v>
                </c:pt>
                <c:pt idx="4">
                  <c:v>Danemark</c:v>
                </c:pt>
                <c:pt idx="5">
                  <c:v>France</c:v>
                </c:pt>
                <c:pt idx="6">
                  <c:v>Pologne</c:v>
                </c:pt>
                <c:pt idx="7">
                  <c:v>Finlande</c:v>
                </c:pt>
                <c:pt idx="8">
                  <c:v>Lettonie</c:v>
                </c:pt>
                <c:pt idx="9">
                  <c:v>Estonie</c:v>
                </c:pt>
                <c:pt idx="10">
                  <c:v>Croatie</c:v>
                </c:pt>
                <c:pt idx="11">
                  <c:v>Espagne</c:v>
                </c:pt>
                <c:pt idx="12">
                  <c:v>Roumanie</c:v>
                </c:pt>
                <c:pt idx="13">
                  <c:v>Slovaquie</c:v>
                </c:pt>
                <c:pt idx="14">
                  <c:v>Suède</c:v>
                </c:pt>
                <c:pt idx="15">
                  <c:v>Rép. Tchèque</c:v>
                </c:pt>
                <c:pt idx="16">
                  <c:v>Pays Bas</c:v>
                </c:pt>
                <c:pt idx="17">
                  <c:v>Irlande</c:v>
                </c:pt>
                <c:pt idx="18">
                  <c:v>Luxembourg</c:v>
                </c:pt>
                <c:pt idx="19">
                  <c:v>Slovénie</c:v>
                </c:pt>
              </c:strCache>
            </c:strRef>
          </c:cat>
          <c:val>
            <c:numRef>
              <c:f>Feuil1!$G$2:$G$21</c:f>
              <c:numCache>
                <c:formatCode>0.0%</c:formatCode>
                <c:ptCount val="20"/>
                <c:pt idx="0">
                  <c:v>4.7000000000000014E-2</c:v>
                </c:pt>
                <c:pt idx="1">
                  <c:v>4.3999999999999997E-2</c:v>
                </c:pt>
                <c:pt idx="2">
                  <c:v>4.3999999999999997E-2</c:v>
                </c:pt>
                <c:pt idx="3">
                  <c:v>3.7999999999999999E-2</c:v>
                </c:pt>
                <c:pt idx="4">
                  <c:v>2.9000000000000001E-2</c:v>
                </c:pt>
                <c:pt idx="5">
                  <c:v>2.5000000000000001E-2</c:v>
                </c:pt>
                <c:pt idx="6">
                  <c:v>2.3E-2</c:v>
                </c:pt>
                <c:pt idx="7">
                  <c:v>2.3E-2</c:v>
                </c:pt>
                <c:pt idx="8">
                  <c:v>2.3E-2</c:v>
                </c:pt>
                <c:pt idx="9">
                  <c:v>2.0000000000000011E-2</c:v>
                </c:pt>
                <c:pt idx="10">
                  <c:v>1.900000000000001E-2</c:v>
                </c:pt>
                <c:pt idx="11">
                  <c:v>1.6000000000000011E-2</c:v>
                </c:pt>
                <c:pt idx="12">
                  <c:v>1.6000000000000011E-2</c:v>
                </c:pt>
                <c:pt idx="13">
                  <c:v>1.4E-2</c:v>
                </c:pt>
                <c:pt idx="14">
                  <c:v>1.2999999999999998E-2</c:v>
                </c:pt>
                <c:pt idx="15">
                  <c:v>1.2999999999999998E-2</c:v>
                </c:pt>
                <c:pt idx="16">
                  <c:v>1.0000000000000005E-2</c:v>
                </c:pt>
                <c:pt idx="17">
                  <c:v>1.0000000000000005E-2</c:v>
                </c:pt>
                <c:pt idx="18">
                  <c:v>7.0000000000000027E-3</c:v>
                </c:pt>
                <c:pt idx="19">
                  <c:v>7.0000000000000027E-3</c:v>
                </c:pt>
              </c:numCache>
            </c:numRef>
          </c:val>
        </c:ser>
        <c:axId val="91047424"/>
        <c:axId val="91048960"/>
      </c:barChart>
      <c:catAx>
        <c:axId val="91047424"/>
        <c:scaling>
          <c:orientation val="minMax"/>
        </c:scaling>
        <c:axPos val="b"/>
        <c:tickLblPos val="nextTo"/>
        <c:txPr>
          <a:bodyPr/>
          <a:lstStyle/>
          <a:p>
            <a:pPr>
              <a:defRPr sz="1100" b="1" i="0" baseline="0"/>
            </a:pPr>
            <a:endParaRPr lang="fr-FR"/>
          </a:p>
        </c:txPr>
        <c:crossAx val="91048960"/>
        <c:crosses val="autoZero"/>
        <c:auto val="1"/>
        <c:lblAlgn val="ctr"/>
        <c:lblOffset val="100"/>
      </c:catAx>
      <c:valAx>
        <c:axId val="91048960"/>
        <c:scaling>
          <c:orientation val="minMax"/>
        </c:scaling>
        <c:axPos val="l"/>
        <c:majorGridlines/>
        <c:numFmt formatCode="0.0%" sourceLinked="1"/>
        <c:tickLblPos val="nextTo"/>
        <c:txPr>
          <a:bodyPr/>
          <a:lstStyle/>
          <a:p>
            <a:pPr>
              <a:defRPr sz="1100" b="1" i="0" baseline="0"/>
            </a:pPr>
            <a:endParaRPr lang="fr-FR"/>
          </a:p>
        </c:txPr>
        <c:crossAx val="91047424"/>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703</Words>
  <Characters>3872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13</cp:revision>
  <dcterms:created xsi:type="dcterms:W3CDTF">2024-04-22T08:51:00Z</dcterms:created>
  <dcterms:modified xsi:type="dcterms:W3CDTF">2024-04-22T12:35:00Z</dcterms:modified>
</cp:coreProperties>
</file>